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Versão de 31 de </w:t>
      </w:r>
      <w:proofErr w:type="gramStart"/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Maio</w:t>
      </w:r>
      <w:proofErr w:type="gramEnd"/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- Reunião Conjunta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="000804F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0804F0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A65F09" w:rsidRDefault="00A65F09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5E1332" w:rsidRDefault="005E1332" w:rsidP="005E1332">
      <w:pPr>
        <w:suppressAutoHyphens w:val="0"/>
        <w:jc w:val="both"/>
        <w:rPr>
          <w:rFonts w:ascii="Times New Roman" w:hAnsi="Times New Roman"/>
          <w:color w:val="0070C0"/>
          <w:sz w:val="24"/>
          <w:szCs w:val="24"/>
          <w:lang w:eastAsia="en-US"/>
        </w:rPr>
      </w:pP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Considerando o disposto no art. 4</w:t>
      </w:r>
      <w:r w:rsidRPr="005E1332">
        <w:rPr>
          <w:rFonts w:ascii="Times New Roman" w:hAnsi="Times New Roman"/>
          <w:color w:val="0070C0"/>
          <w:sz w:val="24"/>
          <w:szCs w:val="24"/>
          <w:vertAlign w:val="superscript"/>
          <w:lang w:eastAsia="en-US"/>
        </w:rPr>
        <w:t>o</w:t>
      </w: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, da Lei nº 9.433 de 1.997, que determina a articulação da União com os Estados para o gerenciamento dos recursos hídricos de interesse comum; e no inciso I do art. 32, que define a gestão integrada das águas como um dos objetivos do Sistema Nacional de Recursos Hídricos;</w:t>
      </w:r>
      <w:bookmarkStart w:id="0" w:name="_GoBack"/>
      <w:bookmarkEnd w:id="0"/>
    </w:p>
    <w:p w:rsidR="00F66F88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5E1332" w:rsidRPr="003667CA" w:rsidRDefault="005E1332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+</w:t>
      </w:r>
    </w:p>
    <w:p w:rsidR="00F66F88" w:rsidRPr="00C64CAD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5E1332" w:rsidRDefault="005E1332" w:rsidP="005E1332">
      <w:pPr>
        <w:jc w:val="both"/>
        <w:rPr>
          <w:color w:val="0070C0"/>
        </w:rPr>
      </w:pP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color w:val="0070C0"/>
          <w:sz w:val="24"/>
          <w:szCs w:val="24"/>
        </w:rPr>
        <w:lastRenderedPageBreak/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federal e estaduais de recursos hídricos;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5E1332">
        <w:rPr>
          <w:rFonts w:ascii="Times New Roman" w:hAnsi="Times New Roman"/>
          <w:color w:val="FF0000"/>
          <w:sz w:val="24"/>
          <w:szCs w:val="24"/>
        </w:rPr>
        <w:t xml:space="preserve">em especial, os seus </w:t>
      </w:r>
      <w:proofErr w:type="spellStart"/>
      <w:r w:rsidRPr="005E1332">
        <w:rPr>
          <w:rFonts w:ascii="Times New Roman" w:hAnsi="Times New Roman"/>
          <w:color w:val="FF0000"/>
          <w:sz w:val="24"/>
          <w:szCs w:val="24"/>
        </w:rPr>
        <w:t>arts</w:t>
      </w:r>
      <w:proofErr w:type="spellEnd"/>
      <w:r w:rsidRPr="005E1332">
        <w:rPr>
          <w:rFonts w:ascii="Times New Roman" w:hAnsi="Times New Roman"/>
          <w:color w:val="FF0000"/>
          <w:sz w:val="24"/>
          <w:szCs w:val="24"/>
        </w:rPr>
        <w:t>. 1 e 2.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águas superficiais e subterrâneas;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145, de 12 de dezembro de 2012, estabelece diretrizes para a elaboração de Planos de Recursos Hídricos de Bacias hidrográficas;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91, de 5 de novembro de 2008, que dispõe sobre procedimentos gerais para o enquadramento dos corpos de água superficiais e subterrâneos;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 o disposto no art.3 § 1º e no art. 4, I.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CONAMA nº 396, de 3 de abril de 2008, que dispõe sobre a classificação e diretrizes ambientais para o enquadramento das águas subterrâneas;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Default="005E1332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126, de 29 de junho de 2011, estabelece diretrizes para o cadastro de usuários de recursos hídricos e para a integração das bases de dados referentes aos usos de recursos hídricos superficiais e subterrâneos, </w:t>
      </w:r>
      <w:r w:rsidRPr="005E1332">
        <w:rPr>
          <w:rFonts w:ascii="Times New Roman" w:hAnsi="Times New Roman"/>
          <w:color w:val="5B9BD5" w:themeColor="accent1"/>
          <w:sz w:val="24"/>
          <w:szCs w:val="24"/>
        </w:rPr>
        <w:t>conforme disposto no seu art. 1;</w:t>
      </w: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Pr="005E1332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5E1332">
        <w:rPr>
          <w:rFonts w:ascii="Times New Roman" w:hAnsi="Times New Roman"/>
          <w:b/>
          <w:sz w:val="24"/>
          <w:szCs w:val="24"/>
        </w:rPr>
        <w:t xml:space="preserve">Verificar a pertinência de inserir nos </w:t>
      </w:r>
      <w:proofErr w:type="spellStart"/>
      <w:r w:rsidRPr="005E1332">
        <w:rPr>
          <w:rFonts w:ascii="Times New Roman" w:hAnsi="Times New Roman"/>
          <w:b/>
          <w:sz w:val="24"/>
          <w:szCs w:val="24"/>
        </w:rPr>
        <w:t>considerandos</w:t>
      </w:r>
      <w:proofErr w:type="spellEnd"/>
      <w:r w:rsidRPr="005E1332">
        <w:rPr>
          <w:rFonts w:ascii="Times New Roman" w:hAnsi="Times New Roman"/>
          <w:b/>
          <w:sz w:val="24"/>
          <w:szCs w:val="24"/>
        </w:rPr>
        <w:t>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Resolução CNRH nº 153/2013 - Estabelece critérios e diretrizes para implantação de Recarga Artificial de Aquíferos no território Brasileiro.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99, de 26 de março de 2009, que aprovou o Detalhamento Operativo dos Programas do Plano Nacional de Recursos Hídricos (Programas VIII, X, XI e XII);</w:t>
      </w:r>
    </w:p>
    <w:p w:rsidR="005E1332" w:rsidRPr="005E1332" w:rsidRDefault="005E1332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5E1332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5E1332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5E1332">
        <w:rPr>
          <w:color w:val="FF0000"/>
          <w:lang w:eastAsia="pt-BR"/>
        </w:rPr>
        <w:t xml:space="preserve"> (</w:t>
      </w:r>
      <w:r w:rsidR="007F0C6D" w:rsidRPr="005E1332">
        <w:rPr>
          <w:color w:val="FF0000"/>
          <w:highlight w:val="yellow"/>
          <w:lang w:eastAsia="pt-BR"/>
        </w:rPr>
        <w:t>entes federativos</w:t>
      </w:r>
      <w:r w:rsidR="008657A3" w:rsidRPr="005E1332">
        <w:rPr>
          <w:color w:val="FF0000"/>
          <w:lang w:eastAsia="pt-BR"/>
        </w:rPr>
        <w:t>)</w:t>
      </w:r>
      <w:r w:rsidRPr="005E1332">
        <w:rPr>
          <w:color w:val="FF0000"/>
          <w:lang w:eastAsia="pt-BR"/>
        </w:rPr>
        <w:t xml:space="preserve"> com vistas </w:t>
      </w:r>
      <w:r w:rsidR="00C30F41" w:rsidRPr="005E1332">
        <w:rPr>
          <w:color w:val="FF0000"/>
          <w:lang w:eastAsia="pt-BR"/>
        </w:rPr>
        <w:t>a</w:t>
      </w:r>
      <w:r w:rsidR="00C22961" w:rsidRPr="005E1332">
        <w:rPr>
          <w:color w:val="FF0000"/>
          <w:lang w:eastAsia="pt-BR"/>
        </w:rPr>
        <w:t xml:space="preserve"> sua efetivação</w:t>
      </w:r>
      <w:r w:rsidRPr="005E1332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</w:t>
      </w:r>
      <w:proofErr w:type="spellStart"/>
      <w:r w:rsidRPr="003667CA">
        <w:rPr>
          <w:lang w:eastAsia="pt-BR"/>
        </w:rPr>
        <w:t>hidrogeológico</w:t>
      </w:r>
      <w:proofErr w:type="spellEnd"/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Livre: aquífero que possui uma s</w:t>
      </w:r>
      <w:r w:rsidRPr="00B071B2">
        <w:rPr>
          <w:color w:val="FF0000"/>
          <w:lang w:eastAsia="pt-BR"/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proofErr w:type="gramStart"/>
      <w:r w:rsidRPr="003667CA">
        <w:rPr>
          <w:lang w:eastAsia="pt-BR"/>
        </w:rPr>
        <w:t>Aquífero Interestadual</w:t>
      </w:r>
      <w:proofErr w:type="gram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Área de recarga: [inserir definição considerando as resoluções do CNRH e Glossários de termos técnicos da ANA e da CPRM]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lastRenderedPageBreak/>
        <w:t>Fluxo de base</w:t>
      </w:r>
      <w:r w:rsidR="006D636E">
        <w:t>:</w:t>
      </w:r>
      <w:r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65B91">
        <w:rPr>
          <w:highlight w:val="yellow"/>
        </w:rPr>
        <w:t>Reserva Renovável ou Reguladora ou Recarga Potencial Direta (RPD)</w:t>
      </w:r>
      <w:r w:rsidR="006D636E" w:rsidRPr="00565B91">
        <w:rPr>
          <w:highlight w:val="yellow"/>
        </w:rPr>
        <w:t>:</w:t>
      </w:r>
      <w:r w:rsidRPr="003667CA">
        <w:t xml:space="preserve"> compreende a parcela da precipitação pluviométrica média anual que infiltra e efetivamente alcança o aquífero livre. Corresponde ao somatório da vazão de base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</w:p>
    <w:p w:rsidR="00C30F41" w:rsidRPr="003667CA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602B1A" w:rsidRDefault="00602B1A" w:rsidP="00F66F88">
      <w:pPr>
        <w:spacing w:after="0" w:line="360" w:lineRule="auto"/>
        <w:jc w:val="both"/>
        <w:rPr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Art. 3º Esta resolução se aplica aos aquíferos livres e rios perenes onde exista conectividade </w:t>
      </w:r>
      <w:r w:rsidR="00783ABF" w:rsidRPr="00565B91">
        <w:rPr>
          <w:rFonts w:ascii="Times New Roman" w:hAnsi="Times New Roman"/>
          <w:color w:val="0070C0"/>
          <w:sz w:val="24"/>
          <w:szCs w:val="24"/>
        </w:rPr>
        <w:t>direta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entre águas 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>subterrâneas</w:t>
      </w:r>
      <w:r w:rsidR="009206A5">
        <w:rPr>
          <w:rFonts w:ascii="Times New Roman" w:hAnsi="Times New Roman"/>
          <w:color w:val="FF0000"/>
          <w:sz w:val="24"/>
          <w:szCs w:val="24"/>
        </w:rPr>
        <w:t xml:space="preserve"> e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superficiais.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071B2" w:rsidRPr="002723BD" w:rsidRDefault="00CE4174" w:rsidP="00B071B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516B48" w:rsidRPr="002723BD">
        <w:rPr>
          <w:rFonts w:ascii="Times New Roman" w:hAnsi="Times New Roman"/>
          <w:sz w:val="24"/>
          <w:szCs w:val="24"/>
        </w:rPr>
        <w:t xml:space="preserve">subterrâneos </w:t>
      </w:r>
      <w:r w:rsidR="00516B48">
        <w:rPr>
          <w:rFonts w:ascii="Times New Roman" w:hAnsi="Times New Roman"/>
          <w:sz w:val="24"/>
          <w:szCs w:val="24"/>
        </w:rPr>
        <w:t xml:space="preserve">e </w:t>
      </w:r>
      <w:r w:rsidR="00B071B2" w:rsidRPr="002723BD">
        <w:rPr>
          <w:rFonts w:ascii="Times New Roman" w:hAnsi="Times New Roman"/>
          <w:sz w:val="24"/>
          <w:szCs w:val="24"/>
        </w:rPr>
        <w:t xml:space="preserve">superficiais contemplará avaliações hidrológicas </w:t>
      </w:r>
      <w:proofErr w:type="gramStart"/>
      <w:r w:rsidR="00B071B2" w:rsidRPr="002723BD">
        <w:rPr>
          <w:rFonts w:ascii="Times New Roman" w:hAnsi="Times New Roman"/>
          <w:sz w:val="24"/>
          <w:szCs w:val="24"/>
        </w:rPr>
        <w:t xml:space="preserve">integradas, </w:t>
      </w:r>
      <w:r w:rsidR="00B071B2" w:rsidRPr="002723B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>devendo</w:t>
      </w:r>
      <w:proofErr w:type="gramEnd"/>
      <w:r w:rsidR="00B071B2" w:rsidRPr="002723BD">
        <w:rPr>
          <w:rFonts w:ascii="Times New Roman" w:hAnsi="Times New Roman"/>
          <w:sz w:val="24"/>
          <w:szCs w:val="24"/>
        </w:rPr>
        <w:t xml:space="preserve"> ser observados, entre outros,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4E3B97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>-    Estimativa da contribuição da vazão de base ao escoamento superficial</w:t>
      </w:r>
      <w:r w:rsidR="00B071B2" w:rsidRPr="004E3B97">
        <w:t>;</w:t>
      </w:r>
    </w:p>
    <w:p w:rsidR="00B071B2" w:rsidRPr="00F7391E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III</w:t>
      </w:r>
      <w:r w:rsidR="00B071B2" w:rsidRPr="002723BD">
        <w:t xml:space="preserve">-    Estimativa da </w:t>
      </w:r>
      <w:r w:rsidR="00B071B2" w:rsidRPr="00565B91">
        <w:rPr>
          <w:highlight w:val="yellow"/>
        </w:rPr>
        <w:t xml:space="preserve">recarga e as reservas </w:t>
      </w:r>
      <w:proofErr w:type="spellStart"/>
      <w:r w:rsidR="00B071B2" w:rsidRPr="00565B91">
        <w:rPr>
          <w:highlight w:val="yellow"/>
        </w:rPr>
        <w:t>explotáveis</w:t>
      </w:r>
      <w:proofErr w:type="spellEnd"/>
      <w:r w:rsidR="00B071B2" w:rsidRPr="00565B91">
        <w:rPr>
          <w:highlight w:val="yellow"/>
        </w:rPr>
        <w:t xml:space="preserve"> e renováveis</w:t>
      </w:r>
      <w:r w:rsidR="00300BBF">
        <w:t>,</w:t>
      </w:r>
      <w:r w:rsidR="004E6114" w:rsidRPr="00565B91">
        <w:rPr>
          <w:iCs/>
          <w:color w:val="FF0000"/>
        </w:rPr>
        <w:t xml:space="preserve"> </w:t>
      </w:r>
      <w:r w:rsidR="00F7391E" w:rsidRPr="00565B91">
        <w:rPr>
          <w:iCs/>
          <w:color w:val="FF0000"/>
        </w:rPr>
        <w:t>considerados os efeitos do</w:t>
      </w:r>
      <w:r w:rsidR="004E6114" w:rsidRPr="00565B91">
        <w:rPr>
          <w:iCs/>
          <w:color w:val="FF0000"/>
        </w:rPr>
        <w:t xml:space="preserve"> uso e ocupação do solo</w:t>
      </w:r>
      <w:r w:rsidR="00F7391E" w:rsidRPr="00565B91">
        <w:rPr>
          <w:iCs/>
          <w:color w:val="FF0000"/>
        </w:rPr>
        <w:t>;</w:t>
      </w:r>
    </w:p>
    <w:p w:rsidR="00B071B2" w:rsidRDefault="00300BBF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</w:t>
      </w:r>
      <w:r w:rsidR="003F3070">
        <w:t>V</w:t>
      </w:r>
      <w:r w:rsidR="00B071B2" w:rsidRPr="002723BD">
        <w:t xml:space="preserve">-    Estimativa </w:t>
      </w:r>
      <w:r w:rsidR="00B071B2" w:rsidRPr="002723BD">
        <w:rPr>
          <w:color w:val="FF0000"/>
          <w:u w:val="single"/>
        </w:rPr>
        <w:t xml:space="preserve">da disponibilidade hídrica integrada </w:t>
      </w:r>
      <w:r w:rsidR="00775AAA" w:rsidRPr="002723BD">
        <w:rPr>
          <w:color w:val="FF0000"/>
          <w:u w:val="single"/>
        </w:rPr>
        <w:t>subterrânea</w:t>
      </w:r>
      <w:r w:rsidR="00775AAA">
        <w:rPr>
          <w:color w:val="FF0000"/>
          <w:u w:val="single"/>
        </w:rPr>
        <w:t xml:space="preserve"> e</w:t>
      </w:r>
      <w:r w:rsidR="00775AAA" w:rsidRPr="002723BD">
        <w:rPr>
          <w:color w:val="FF0000"/>
          <w:u w:val="single"/>
        </w:rPr>
        <w:t xml:space="preserve"> </w:t>
      </w:r>
      <w:r w:rsidR="00B071B2" w:rsidRPr="002723BD">
        <w:rPr>
          <w:color w:val="FF0000"/>
          <w:u w:val="single"/>
        </w:rPr>
        <w:t xml:space="preserve">superficial </w:t>
      </w:r>
      <w:r w:rsidR="00B071B2" w:rsidRPr="002723BD">
        <w:t xml:space="preserve">para </w:t>
      </w:r>
      <w:r w:rsidR="007154B7">
        <w:t>os diversos usos</w:t>
      </w:r>
      <w:r w:rsidR="00B071B2" w:rsidRPr="002723BD">
        <w:t xml:space="preserve">, considerando os </w:t>
      </w:r>
      <w:r w:rsidR="00775AAA">
        <w:t>incisos</w:t>
      </w:r>
      <w:r w:rsidR="00B071B2" w:rsidRPr="002723BD">
        <w:t xml:space="preserve"> anteriores;</w:t>
      </w:r>
    </w:p>
    <w:p w:rsidR="008E4EAF" w:rsidRDefault="008E4EA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</w:p>
    <w:p w:rsidR="00816642" w:rsidRDefault="00816642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</w:p>
    <w:p w:rsidR="00505A35" w:rsidRPr="00A65F09" w:rsidRDefault="00505A35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  <w:r w:rsidRPr="00A65F09">
        <w:rPr>
          <w:color w:val="7030A0"/>
          <w:sz w:val="28"/>
          <w:szCs w:val="28"/>
        </w:rPr>
        <w:lastRenderedPageBreak/>
        <w:t xml:space="preserve">Para próxima reunião - </w:t>
      </w:r>
      <w:r w:rsidR="00A65F09" w:rsidRPr="00A65F09">
        <w:rPr>
          <w:color w:val="7030A0"/>
          <w:sz w:val="28"/>
          <w:szCs w:val="28"/>
        </w:rPr>
        <w:t xml:space="preserve">Em </w:t>
      </w:r>
      <w:r w:rsidR="004B39B8" w:rsidRPr="00A65F09">
        <w:rPr>
          <w:color w:val="7030A0"/>
          <w:sz w:val="28"/>
          <w:szCs w:val="28"/>
        </w:rPr>
        <w:t>2 agosto</w:t>
      </w:r>
    </w:p>
    <w:p w:rsidR="00505A35" w:rsidRDefault="00505A35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</w:pPr>
      <w:r w:rsidRPr="004B39B8">
        <w:rPr>
          <w:highlight w:val="green"/>
        </w:rPr>
        <w:t>Colocar em outro artigo ou parágrafo separado</w:t>
      </w:r>
    </w:p>
    <w:p w:rsidR="00B071B2" w:rsidRPr="00565B91" w:rsidRDefault="00191851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  <w:rPr>
          <w:color w:val="FF0000"/>
        </w:rPr>
      </w:pPr>
      <w:r>
        <w:rPr>
          <w:iCs/>
        </w:rPr>
        <w:t>V</w:t>
      </w:r>
      <w:r w:rsidR="00B071B2" w:rsidRPr="00565B91">
        <w:rPr>
          <w:iCs/>
          <w:strike/>
        </w:rPr>
        <w:t>-</w:t>
      </w:r>
      <w:r w:rsidR="00B071B2" w:rsidRPr="002723BD">
        <w:t>       </w:t>
      </w:r>
      <w:r w:rsidR="00CC6C17">
        <w:t>A</w:t>
      </w:r>
      <w:r w:rsidR="00B071B2" w:rsidRPr="002723BD">
        <w:rPr>
          <w:iCs/>
        </w:rPr>
        <w:t xml:space="preserve"> </w:t>
      </w:r>
      <w:r w:rsidR="00CC6C17">
        <w:rPr>
          <w:iCs/>
        </w:rPr>
        <w:t>r</w:t>
      </w:r>
      <w:r w:rsidR="00B071B2" w:rsidRPr="002723BD">
        <w:rPr>
          <w:iCs/>
        </w:rPr>
        <w:t>ede de monitoramento</w:t>
      </w:r>
      <w:r w:rsidR="00DA3614">
        <w:rPr>
          <w:iCs/>
        </w:rPr>
        <w:t xml:space="preserve"> </w:t>
      </w:r>
      <w:proofErr w:type="spellStart"/>
      <w:r w:rsidR="00DA3614">
        <w:rPr>
          <w:iCs/>
        </w:rPr>
        <w:t>hidrometereorologica</w:t>
      </w:r>
      <w:proofErr w:type="spellEnd"/>
      <w:r w:rsidR="00DA3614">
        <w:rPr>
          <w:iCs/>
        </w:rPr>
        <w:t xml:space="preserve"> e </w:t>
      </w:r>
      <w:proofErr w:type="spellStart"/>
      <w:proofErr w:type="gramStart"/>
      <w:r w:rsidR="00DA3614">
        <w:rPr>
          <w:iCs/>
        </w:rPr>
        <w:t>hidrogeológica</w:t>
      </w:r>
      <w:proofErr w:type="spellEnd"/>
      <w:r w:rsidR="00DA3614">
        <w:rPr>
          <w:iCs/>
        </w:rPr>
        <w:t xml:space="preserve"> </w:t>
      </w:r>
      <w:r w:rsidR="00B071B2" w:rsidRPr="002723BD">
        <w:rPr>
          <w:iCs/>
        </w:rPr>
        <w:t xml:space="preserve"> </w:t>
      </w:r>
      <w:r w:rsidR="00B071B2" w:rsidRPr="00565B91">
        <w:rPr>
          <w:iCs/>
          <w:strike/>
        </w:rPr>
        <w:t>superficial</w:t>
      </w:r>
      <w:proofErr w:type="gramEnd"/>
      <w:r w:rsidR="00B071B2" w:rsidRPr="00565B91">
        <w:rPr>
          <w:iCs/>
          <w:strike/>
        </w:rPr>
        <w:t xml:space="preserve"> e subterrânea</w:t>
      </w:r>
      <w:r w:rsidR="00B071B2" w:rsidRPr="002723BD">
        <w:rPr>
          <w:iCs/>
        </w:rPr>
        <w:t xml:space="preserve"> </w:t>
      </w:r>
      <w:r w:rsidR="00505A35">
        <w:rPr>
          <w:iCs/>
        </w:rPr>
        <w:t xml:space="preserve">e indicar a adequação para a </w:t>
      </w:r>
      <w:r w:rsidR="00B071B2" w:rsidRPr="002723BD">
        <w:rPr>
          <w:iCs/>
        </w:rPr>
        <w:t>necessária para gestão integrada.</w:t>
      </w:r>
      <w:r w:rsidR="004E6114">
        <w:rPr>
          <w:iCs/>
        </w:rPr>
        <w:t xml:space="preserve"> </w:t>
      </w:r>
    </w:p>
    <w:p w:rsidR="00690566" w:rsidRPr="00F66F88" w:rsidRDefault="00690566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071B2" w:rsidRPr="00C7009B" w:rsidRDefault="00B071B2" w:rsidP="00B071B2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Art. 5° Para a gestão integrada de recursos hídricos as autoridades outorgantes elaborarão Atos Regulatórios com foco na alocação de águas superficiais e subterrâneas, observando-se seguintes situações: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 – Aquíferos ou sistemas aquíferos que contribuem a </w:t>
      </w:r>
      <w:proofErr w:type="gramStart"/>
      <w:r w:rsidRPr="00C7009B">
        <w:rPr>
          <w:rFonts w:ascii="Times New Roman" w:hAnsi="Times New Roman"/>
          <w:sz w:val="24"/>
          <w:szCs w:val="24"/>
        </w:rPr>
        <w:t>rio(</w:t>
      </w:r>
      <w:proofErr w:type="gramEnd"/>
      <w:r w:rsidRPr="00C7009B">
        <w:rPr>
          <w:rFonts w:ascii="Times New Roman" w:hAnsi="Times New Roman"/>
          <w:sz w:val="24"/>
          <w:szCs w:val="24"/>
        </w:rPr>
        <w:t xml:space="preserve">s) de mesma </w:t>
      </w:r>
      <w:proofErr w:type="spellStart"/>
      <w:r w:rsidRPr="00C7009B">
        <w:rPr>
          <w:rFonts w:ascii="Times New Roman" w:hAnsi="Times New Roman"/>
          <w:sz w:val="24"/>
          <w:szCs w:val="24"/>
        </w:rPr>
        <w:t>dominialidade</w:t>
      </w:r>
      <w:proofErr w:type="spellEnd"/>
      <w:r w:rsidRPr="00C7009B">
        <w:rPr>
          <w:rFonts w:ascii="Times New Roman" w:hAnsi="Times New Roman"/>
          <w:sz w:val="24"/>
          <w:szCs w:val="24"/>
        </w:rPr>
        <w:t>, conectados no âmbito do mesmo Estado - Atos Regulatórios Estaduais ou Distrital.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 – Aquíferos ou sistemas aquíferos que contribuem a </w:t>
      </w:r>
      <w:proofErr w:type="gramStart"/>
      <w:r w:rsidRPr="00C7009B">
        <w:rPr>
          <w:rFonts w:ascii="Times New Roman" w:hAnsi="Times New Roman"/>
          <w:sz w:val="24"/>
          <w:szCs w:val="24"/>
        </w:rPr>
        <w:t>rio(</w:t>
      </w:r>
      <w:proofErr w:type="gramEnd"/>
      <w:r w:rsidRPr="00C7009B">
        <w:rPr>
          <w:rFonts w:ascii="Times New Roman" w:hAnsi="Times New Roman"/>
          <w:sz w:val="24"/>
          <w:szCs w:val="24"/>
        </w:rPr>
        <w:t>s) de domínio de outro Estado - Atos Regulatórios Interestaduais.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III – Aquíferos ou sistemas aquíferos que contribuem diretamente a </w:t>
      </w:r>
      <w:proofErr w:type="gramStart"/>
      <w:r w:rsidRPr="00C7009B">
        <w:rPr>
          <w:rFonts w:ascii="Times New Roman" w:hAnsi="Times New Roman"/>
          <w:sz w:val="24"/>
          <w:szCs w:val="24"/>
        </w:rPr>
        <w:t>rio(</w:t>
      </w:r>
      <w:proofErr w:type="gramEnd"/>
      <w:r w:rsidRPr="00C7009B">
        <w:rPr>
          <w:rFonts w:ascii="Times New Roman" w:hAnsi="Times New Roman"/>
          <w:sz w:val="24"/>
          <w:szCs w:val="24"/>
        </w:rPr>
        <w:t>s) de domínio da União - Atos Regulatórios entre ANA, Estados e Distrito Federal.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§2°Na elaboração de Atos Regulatórios descritos no Inciso I deste artigo, os órgãos gestores de recursos hídricos dos Estados ou do Distrito Federal deverão considerar as contribuições dos fluxos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§3°Na elaboração de Atos Regulatórios descritos no Inciso II deste artigo, os órgãos gestores de recursos hídricos dos Estados e do Distrito Federal, envolvidos, articular-se-ão entre si com vistas considerar as contribuições dos fluxos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§4° Na elaboração de Atos Regulatórios descritos no Inciso III deste artigo, a ANA articular-se-á com as autoridades outorgantes dos Estados e do Distrito Federal com vistas a </w:t>
      </w:r>
      <w:r w:rsidRPr="00C7009B">
        <w:rPr>
          <w:rFonts w:ascii="Times New Roman" w:hAnsi="Times New Roman"/>
          <w:sz w:val="24"/>
          <w:szCs w:val="24"/>
        </w:rPr>
        <w:lastRenderedPageBreak/>
        <w:t>considerar as contribuições diretas dos fluxos de base dos aquíferos à disponibilidade superficial,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§5° Os Atos Regulatórios para gestão integrada de recursos hídricos superficiais e subterrâneos deverão ser definidos por bacia hidrográfica, ou trecho dela, considerando aquífero ou sistemas aquíferos existentes.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Atos Regulatórios serão formalizados em </w:t>
      </w:r>
      <w:r w:rsidRPr="00923DED">
        <w:rPr>
          <w:rFonts w:ascii="Times New Roman" w:hAnsi="Times New Roman"/>
          <w:sz w:val="24"/>
          <w:szCs w:val="24"/>
        </w:rPr>
        <w:t>Atos Administrativos, devendo ser conjuntos quando envolverem mais de uma autoridade outorgante.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7F0C6D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65B91">
        <w:rPr>
          <w:rFonts w:ascii="Times New Roman" w:hAnsi="Times New Roman"/>
          <w:sz w:val="24"/>
          <w:szCs w:val="24"/>
          <w:highlight w:val="yellow"/>
        </w:rPr>
        <w:t>*Atos administrativos: Resolução, Resolução Conjunta, Marco Regulatório</w:t>
      </w:r>
    </w:p>
    <w:p w:rsidR="00F66F88" w:rsidRPr="003667CA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.6°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Pr="00F66F88">
        <w:rPr>
          <w:rFonts w:ascii="Times New Roman" w:hAnsi="Times New Roman"/>
          <w:color w:val="FF0000"/>
          <w:sz w:val="24"/>
          <w:szCs w:val="24"/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 considerados os aquíferos existentes para que a contribuição subterrânea possa ser corretamente medida. </w:t>
      </w:r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º No gerenciamento dos aquíferos e sistemas aquíferos interestaduais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 União, em articulação com os órgãos gestores estaduais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="00565B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 vistas a</w:t>
      </w:r>
      <w:r w:rsidR="00F67C5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prioritárias para a elaboração, atualização ou implementação de planos de recursos hídricos.</w:t>
      </w: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265" w:rsidRDefault="00F73265">
      <w:pPr>
        <w:spacing w:after="0" w:line="240" w:lineRule="auto"/>
      </w:pPr>
      <w:r>
        <w:separator/>
      </w:r>
    </w:p>
  </w:endnote>
  <w:endnote w:type="continuationSeparator" w:id="0">
    <w:p w:rsidR="00F73265" w:rsidRDefault="00F7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r w:rsidR="00B81D43">
      <w:t>3</w:t>
    </w:r>
    <w:r w:rsidR="00896392">
      <w:t>1</w:t>
    </w:r>
    <w:r w:rsidR="00D90D60">
      <w:t>/0</w:t>
    </w:r>
    <w:r w:rsidR="00B81D43">
      <w:t>5</w:t>
    </w:r>
    <w:r w:rsidR="00D90D60">
      <w:t>/</w:t>
    </w:r>
    <w:r w:rsidRPr="00B33A16">
      <w:t>1</w:t>
    </w:r>
    <w:r w:rsidR="00D90D60">
      <w:t>7</w:t>
    </w:r>
  </w:p>
  <w:p w:rsidR="0082734E" w:rsidRPr="0082734E" w:rsidRDefault="00896392">
    <w:pPr>
      <w:pStyle w:val="Rodap"/>
      <w:jc w:val="center"/>
    </w:pPr>
  </w:p>
  <w:p w:rsidR="002725B4" w:rsidRDefault="00896392">
    <w:pPr>
      <w:pStyle w:val="Rodap"/>
      <w:jc w:val="center"/>
    </w:pPr>
  </w:p>
  <w:p w:rsidR="00E14AAE" w:rsidRPr="005241B2" w:rsidRDefault="00896392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896392" w:rsidP="005241B2">
    <w:pPr>
      <w:pStyle w:val="Rodap"/>
      <w:jc w:val="both"/>
      <w:rPr>
        <w:sz w:val="20"/>
        <w:szCs w:val="20"/>
      </w:rPr>
    </w:pPr>
  </w:p>
  <w:p w:rsidR="00F022FB" w:rsidRDefault="008963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265" w:rsidRDefault="00F73265">
      <w:pPr>
        <w:spacing w:after="0" w:line="240" w:lineRule="auto"/>
      </w:pPr>
      <w:r>
        <w:separator/>
      </w:r>
    </w:p>
  </w:footnote>
  <w:footnote w:type="continuationSeparator" w:id="0">
    <w:p w:rsidR="00F73265" w:rsidRDefault="00F73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88"/>
    <w:rsid w:val="000357C5"/>
    <w:rsid w:val="000606C4"/>
    <w:rsid w:val="000804F0"/>
    <w:rsid w:val="00151290"/>
    <w:rsid w:val="001516A3"/>
    <w:rsid w:val="00191851"/>
    <w:rsid w:val="0019464F"/>
    <w:rsid w:val="001A6E13"/>
    <w:rsid w:val="001D7127"/>
    <w:rsid w:val="00225625"/>
    <w:rsid w:val="0025328F"/>
    <w:rsid w:val="00266A4C"/>
    <w:rsid w:val="002A3FAC"/>
    <w:rsid w:val="002C41BC"/>
    <w:rsid w:val="002F18CF"/>
    <w:rsid w:val="002F1BA2"/>
    <w:rsid w:val="00300BBF"/>
    <w:rsid w:val="00301B27"/>
    <w:rsid w:val="00345720"/>
    <w:rsid w:val="00372F43"/>
    <w:rsid w:val="003F3070"/>
    <w:rsid w:val="00434CFA"/>
    <w:rsid w:val="00440E02"/>
    <w:rsid w:val="00490739"/>
    <w:rsid w:val="004A54E9"/>
    <w:rsid w:val="004B39B8"/>
    <w:rsid w:val="004E3B97"/>
    <w:rsid w:val="004E6114"/>
    <w:rsid w:val="004F5213"/>
    <w:rsid w:val="00504C7C"/>
    <w:rsid w:val="00505A35"/>
    <w:rsid w:val="00516B48"/>
    <w:rsid w:val="00565B91"/>
    <w:rsid w:val="005A02A8"/>
    <w:rsid w:val="005B5F9B"/>
    <w:rsid w:val="005B7842"/>
    <w:rsid w:val="005D7322"/>
    <w:rsid w:val="005E1332"/>
    <w:rsid w:val="00602B1A"/>
    <w:rsid w:val="006565B4"/>
    <w:rsid w:val="006700DB"/>
    <w:rsid w:val="00690566"/>
    <w:rsid w:val="006D636E"/>
    <w:rsid w:val="007154B7"/>
    <w:rsid w:val="00725A24"/>
    <w:rsid w:val="007304AE"/>
    <w:rsid w:val="00775AAA"/>
    <w:rsid w:val="00783ABF"/>
    <w:rsid w:val="007B7F57"/>
    <w:rsid w:val="007F0C6D"/>
    <w:rsid w:val="00816642"/>
    <w:rsid w:val="008232FB"/>
    <w:rsid w:val="008375EE"/>
    <w:rsid w:val="00850396"/>
    <w:rsid w:val="008657A3"/>
    <w:rsid w:val="0087011D"/>
    <w:rsid w:val="00896392"/>
    <w:rsid w:val="00897263"/>
    <w:rsid w:val="008B2B62"/>
    <w:rsid w:val="008B3C5B"/>
    <w:rsid w:val="008C0CDC"/>
    <w:rsid w:val="008C2615"/>
    <w:rsid w:val="008E4EAF"/>
    <w:rsid w:val="0091273E"/>
    <w:rsid w:val="00913F58"/>
    <w:rsid w:val="009206A5"/>
    <w:rsid w:val="00922D48"/>
    <w:rsid w:val="00925CF5"/>
    <w:rsid w:val="009A06D9"/>
    <w:rsid w:val="009A0ED5"/>
    <w:rsid w:val="009E3B15"/>
    <w:rsid w:val="009E4D46"/>
    <w:rsid w:val="009E69E8"/>
    <w:rsid w:val="00A07F4B"/>
    <w:rsid w:val="00A3541B"/>
    <w:rsid w:val="00A65F09"/>
    <w:rsid w:val="00A70DF0"/>
    <w:rsid w:val="00A7180C"/>
    <w:rsid w:val="00AB7847"/>
    <w:rsid w:val="00AD371F"/>
    <w:rsid w:val="00B071B2"/>
    <w:rsid w:val="00B25FAC"/>
    <w:rsid w:val="00B81D43"/>
    <w:rsid w:val="00BB3CA8"/>
    <w:rsid w:val="00C04CEA"/>
    <w:rsid w:val="00C22961"/>
    <w:rsid w:val="00C30F41"/>
    <w:rsid w:val="00C878F9"/>
    <w:rsid w:val="00CC6C17"/>
    <w:rsid w:val="00CD19A1"/>
    <w:rsid w:val="00CE4174"/>
    <w:rsid w:val="00D13531"/>
    <w:rsid w:val="00D13E1E"/>
    <w:rsid w:val="00D4542F"/>
    <w:rsid w:val="00D90D60"/>
    <w:rsid w:val="00DA3614"/>
    <w:rsid w:val="00DA641D"/>
    <w:rsid w:val="00DC5950"/>
    <w:rsid w:val="00E17742"/>
    <w:rsid w:val="00E17E64"/>
    <w:rsid w:val="00E72B92"/>
    <w:rsid w:val="00EB3602"/>
    <w:rsid w:val="00F15904"/>
    <w:rsid w:val="00F47EB3"/>
    <w:rsid w:val="00F65881"/>
    <w:rsid w:val="00F66F88"/>
    <w:rsid w:val="00F67C5F"/>
    <w:rsid w:val="00F73265"/>
    <w:rsid w:val="00F7391E"/>
    <w:rsid w:val="00F80857"/>
    <w:rsid w:val="00FD2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5A7A9-2770-4536-9DBC-440AB2FF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4AABF-D732-471A-8D62-F7A3C6D0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1805</Words>
  <Characters>9750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Roseli dos Santos Souza</cp:lastModifiedBy>
  <cp:revision>11</cp:revision>
  <dcterms:created xsi:type="dcterms:W3CDTF">2017-06-14T19:54:00Z</dcterms:created>
  <dcterms:modified xsi:type="dcterms:W3CDTF">2017-07-11T14:13:00Z</dcterms:modified>
</cp:coreProperties>
</file>